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知识产权指标说明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所称“Ⅰ类知识产权”包括发明专利（含国防专利）、植物新品种、国家级农作物品种、国家新药、国家一级中药保护品种、集成电路布图设计专有权（均不包含转让未满1年的知识产权）。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所称“Ⅰ类高价值知识产权”须符合以下条件之一：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1.在海外有同族专利权的发明专利或在海外取得收入的其他Ⅰ类知识产权，其中专利限G20成员、新加坡以及欧洲专利局经实质审查后获得授权的发明专利。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2.维持年限超过10年的Ⅰ类知识产权。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3.实现较高质押融资金额的Ⅰ类知识产权。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4.获得国家科学技术奖或中国专利奖的Ⅰ类知识产权。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所称“Ⅱ类知识产权”包括与主导产品相关的软件著作权（不含商标）、授权后维持超过2年的实用新型专利或外观设计专利（均不包含转让未满1年的知识产权）。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0ZmJiMDM5MWYyOGMxZWE2ZjZlYmY1ZTRmYzMxMDMifQ=="/>
  </w:docVars>
  <w:rsids>
    <w:rsidRoot w:val="00000000"/>
    <w:rsid w:val="2BDE6BB1"/>
    <w:rsid w:val="32B36390"/>
    <w:rsid w:val="65F7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356</Characters>
  <Lines>0</Lines>
  <Paragraphs>0</Paragraphs>
  <TotalTime>2</TotalTime>
  <ScaleCrop>false</ScaleCrop>
  <LinksUpToDate>false</LinksUpToDate>
  <CharactersWithSpaces>356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2022-09-12T12:05:00Z</dcterms:created>
  <dc:creator>Daisy</dc:creator>
  <cp:lastModifiedBy>renxj</cp:lastModifiedBy>
  <dcterms:modified xsi:type="dcterms:W3CDTF">2024-09-09T17:50:03Z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3D3EBAFE1E874020870B9E40D0A5EB4D</vt:lpwstr>
  </property>
</Properties>
</file>